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Times New Roman"/>
          <w:b/>
          <w:sz w:val="30"/>
          <w:szCs w:val="30"/>
          <w:lang w:val="en-US" w:eastAsia="zh-CN"/>
        </w:rPr>
        <w:t xml:space="preserve">1：         </w:t>
      </w:r>
      <w:bookmarkStart w:id="0" w:name="_GoBack"/>
      <w:r>
        <w:rPr>
          <w:rFonts w:hint="eastAsia" w:ascii="宋体" w:hAnsi="宋体" w:eastAsia="宋体" w:cs="Times New Roman"/>
          <w:b/>
          <w:sz w:val="30"/>
          <w:szCs w:val="30"/>
        </w:rPr>
        <w:t>舟山市船舶修造行业外协施工作业单位安全生产规范化考评细则</w:t>
      </w:r>
      <w:bookmarkEnd w:id="0"/>
      <w:r>
        <w:rPr>
          <w:rFonts w:hint="eastAsia" w:ascii="宋体" w:hAnsi="宋体" w:eastAsia="宋体" w:cs="Times New Roman"/>
          <w:b/>
          <w:sz w:val="30"/>
          <w:szCs w:val="30"/>
        </w:rPr>
        <w:t xml:space="preserve">（试行） </w:t>
      </w:r>
    </w:p>
    <w:tbl>
      <w:tblPr>
        <w:tblStyle w:val="3"/>
        <w:tblW w:w="1566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800"/>
        <w:gridCol w:w="4680"/>
        <w:gridCol w:w="1620"/>
        <w:gridCol w:w="468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73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考评内容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考评方式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评分标准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自评得分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考评得分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一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安全责任落实（28分）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安全生产责任制（3分）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与船企签订安全生产责任书，明确双方安全生产权利义务；层层签订安全生产责任书，将安全生产责任落实到部门、班组、每个岗位。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查阅工作台帐。</w:t>
            </w:r>
          </w:p>
        </w:tc>
        <w:tc>
          <w:tcPr>
            <w:tcW w:w="4680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</w:rPr>
              <w:t>未签订责任书的，扣1—3分，责任书签订不规范的，每处扣0.5分。本项分值扣完为止。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宋体"/>
                <w:bCs/>
                <w:kern w:val="0"/>
                <w:sz w:val="21"/>
                <w:szCs w:val="21"/>
              </w:rPr>
              <w:t>安全生产职责（2分）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制定各部门、各类人员安全生产职责。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查阅工作台帐，询问相关人员。</w:t>
            </w:r>
          </w:p>
        </w:tc>
        <w:tc>
          <w:tcPr>
            <w:tcW w:w="4680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</w:rPr>
              <w:t>未制定</w:t>
            </w: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各部门、各类人员安全生产</w:t>
            </w: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</w:rPr>
              <w:t>职责的，扣1—2分，制定不全面的，每处扣0.5分。本项分值扣完为止。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540" w:type="dxa"/>
            <w:vMerge w:val="continue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设置安全管理机构、配备安全管理人员（10分）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参照高危行业企业规定要求设置机构、配备安全管理人员，并满足现场安全管理要求。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查阅工作台帐。</w:t>
            </w:r>
          </w:p>
        </w:tc>
        <w:tc>
          <w:tcPr>
            <w:tcW w:w="4680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</w:rPr>
              <w:t>未按要求设置机构的扣10分；不按规定配备安管人员的，少1人扣2分。本项分值扣完为止。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540" w:type="dxa"/>
            <w:vMerge w:val="continue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安全生产教育与培训（10分）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积极开展安全生产宣传教育活动，加强对主要负责人、安全生产管理人员、特种作业人员、从业人员“四类人员”和“四新人员”安全教育培训。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查阅工作台帐。</w:t>
            </w:r>
          </w:p>
        </w:tc>
        <w:tc>
          <w:tcPr>
            <w:tcW w:w="4680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</w:rPr>
              <w:t>未制定年度安全生产宣传教育工作计划的，扣3—5分；未开展相关安全活动的，扣3—5分；未参加船企员（民）工安全学校安全教育的，扣3—5分；主要负责人未经培训取得上岗证书的，扣3分；安全管理人员未取得培训证书上岗的，每人扣1分；特种作业人员无证上岗的，发现1人扣1分；未对新员工、“四新”人员、转岗人员进行培训教育的，每人扣0.5分。本项分值扣完为止。本项分值扣完为止。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540" w:type="dxa"/>
            <w:vMerge w:val="continue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建立、健全安全生产规章制度和必要的操作规程（3分）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仿宋_GB2312" w:hAnsi="宋体" w:eastAsia="宋体" w:cs="Times New Roman"/>
                <w:color w:val="000000"/>
                <w:kern w:val="0"/>
                <w:sz w:val="21"/>
                <w:szCs w:val="21"/>
              </w:rPr>
              <w:t>应建立包括以下内容的规章制度：安全生产检查，安全教育培训，安全生产考核，奖惩，事故管理，设备设施安全管理，现场安全管理，电气安全管理，劳动防护用品管理，安全生产投入，安全例会，危险作业安全管理，危险作业审批，相关方安全管理、台帐管理等；建立健全相关工种安全生产操作规程。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查阅工作台帐。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color w:val="000000"/>
                <w:kern w:val="0"/>
                <w:sz w:val="21"/>
                <w:szCs w:val="21"/>
              </w:rPr>
              <w:t>每少一项扣0.5分，其中缺安全生产考核、奖惩制度的扣1分。</w:t>
            </w: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</w:rPr>
              <w:t>本项分值扣完为止。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二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现场作业安全管理（22分）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安全检查（8分）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严格执行安全检查制度和安全操作规程；及时督促班组、职工整改各类事故隐患；建立违章和事故处理记录。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现场检查、查阅工作台帐。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</w:rPr>
              <w:t>外协施工作业单位未开展安全检查的，扣1—3分；安全检查记录不全的，每处扣0.5分；隐患整改通知书、复查意见书不规范的，每处扣1分；违章和事故处理记录不规范的，每处扣0.5分；台帐记录不完善的，每处扣0.5分。本项分值扣完为止。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540" w:type="dxa"/>
            <w:vMerge w:val="continue"/>
          </w:tcPr>
          <w:p>
            <w:pP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危险作业管理（8分）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危险作业审批情况；作业人员经过相关体检符合危险作业条件；施工安全措施，现场监护人员落实到位；作业现场安全状态进行确认；作业人员正确规范操作。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查阅工作台帐，现场察看。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未严格进行审批的，扣1分；每发现1人未进行体检的，扣0.5分；施工安全措施，现场监护落实不到位的，扣1分；未经现场确认的，扣1分；违规操作的扣1分。</w:t>
            </w: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</w:rPr>
              <w:t>本项分值扣完为止。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540" w:type="dxa"/>
            <w:vMerge w:val="continue"/>
          </w:tcPr>
          <w:p>
            <w:pP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设备安全管理（6分）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船企设施设备管理：与所服务的船企签订租用、使用协议书，明确各自职责，落实责任人员，定期进行检查、保养、维修，及时将安全隐患上报船企。自备设备管理：外协作业单位应有专人负责管理自备设备，明确职责，定期检查、保养、维修，建立设备管理台账。对安全设备应制定检、维修计划。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现场检查，查阅工作台帐。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未签订租用、使用协议书的，扣1分，未落实责任人员的，扣1分，保养、维修、检查不到位的，每处扣0.5分；未建立相关工作台帐的，扣1分。</w:t>
            </w: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</w:rPr>
              <w:t>本项分值扣完为止。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班组安全管理（12分）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班组建设（12分）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合理设置班组，明确班组长、班组从业人员安全生产职责；开展班组安全活动并记录。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查阅工作台帐。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未划分班组作业单元的，扣2分；未明确班组长、班组从业人员安全生产工作职责的，扣2分；未进行作业前安全交底、交接班的，每处扣1分；作业中未进行检查的，每处扣1分；未开展班组安全教育的，每处扣1—2分；未开展班组隐患排查的，每处扣0.5分。</w:t>
            </w: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</w:rPr>
              <w:t>本项分值扣完为止。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四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隐患排查治理（16分）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隐患排查（9分）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外协作业单位应对本单位所从事的各种作业进行安全分析评估，确定安全风险等级，制定控制事故风险措施；积极主动参与船企开展的隐患排查治理工作，及时上报隐患信息。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查阅工作台帐。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</w:rPr>
              <w:t>未开展安全风险评估分析的，扣2分；未制定控制措施的，扣3分；未参加船企事故隐患排查工作的，扣2分；未上报隐患信息的，每处扣0.5分。本项分值扣完为止。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隐患治理（7分）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制定隐患治理方案，落实专人负责跟踪监督落实；对隐患排查治理情况进行记录。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现场查看隐患治理情况。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</w:rPr>
              <w:t>未制定隐患治理方案的，扣2分；隐患未及时整改的，每处扣1分；未落实有关责任人员，每处扣1分；整改不到位，每处扣1分。本项分值扣完为止。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540" w:type="dxa"/>
            <w:vMerge w:val="restart"/>
            <w:vAlign w:val="center"/>
          </w:tcPr>
          <w:p>
            <w:pP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五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事故报</w:t>
            </w:r>
          </w:p>
          <w:p>
            <w:pP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告及应</w:t>
            </w:r>
          </w:p>
          <w:p>
            <w:pP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急管理</w:t>
            </w:r>
          </w:p>
          <w:p>
            <w:pP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（10</w:t>
            </w:r>
          </w:p>
          <w:p>
            <w:pP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不发生安全生产事故（6分）</w:t>
            </w:r>
          </w:p>
        </w:tc>
        <w:tc>
          <w:tcPr>
            <w:tcW w:w="4680" w:type="dxa"/>
            <w:vAlign w:val="center"/>
          </w:tcPr>
          <w:p>
            <w:pPr>
              <w:tabs>
                <w:tab w:val="right" w:pos="2864"/>
              </w:tabs>
              <w:spacing w:line="300" w:lineRule="exact"/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不发生一般以上安全生产责任事故；事故报告及时、准确、完整。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查阅工作台帐。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发生一般以上安全生产责任事故的，扣100分；事故迟报、漏报、谎报或者瞒报，每项扣6分。</w:t>
            </w: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</w:rPr>
              <w:t>本项分值扣完为止。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应急管理（4分）</w:t>
            </w:r>
          </w:p>
        </w:tc>
        <w:tc>
          <w:tcPr>
            <w:tcW w:w="4680" w:type="dxa"/>
            <w:vAlign w:val="center"/>
          </w:tcPr>
          <w:p>
            <w:pPr>
              <w:tabs>
                <w:tab w:val="right" w:pos="2864"/>
              </w:tabs>
              <w:spacing w:line="300" w:lineRule="exact"/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1"/>
                <w:szCs w:val="21"/>
              </w:rPr>
              <w:t>主动参加船企组织的应急救援培训与演练；制定符合本单位作业需要的各种现场应急处置方案，定期开展演练。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查阅工作台帐</w:t>
            </w: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</w:rPr>
              <w:t>。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</w:rPr>
              <w:t>未参加船企组织的应急救援培训的，扣1分；未制定本单位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1"/>
                <w:szCs w:val="21"/>
              </w:rPr>
              <w:t>现场处置方案</w:t>
            </w: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</w:rPr>
              <w:t>的，扣1分；未定期组织演练的，扣1分。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六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安全生产保障(12分)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劳动防护用品管理（8分）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配备符合规定要求的劳动防护用品；教育督促职工按规定正确佩戴劳动防护用品。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查阅工作台帐，现场抽查使用情况。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未按规定正确佩戴劳动防护用品的，每发现1人，扣1分；违反劳动防护用品发放使用规定的，每处扣2分。</w:t>
            </w: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</w:rPr>
              <w:t>本项分值扣完为止。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540" w:type="dxa"/>
            <w:vMerge w:val="continue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安全生产费用（4分）</w:t>
            </w:r>
          </w:p>
        </w:tc>
        <w:tc>
          <w:tcPr>
            <w:tcW w:w="4680" w:type="dxa"/>
            <w:vAlign w:val="center"/>
          </w:tcPr>
          <w:p>
            <w:pPr>
              <w:spacing w:line="300" w:lineRule="exact"/>
              <w:rPr>
                <w:rFonts w:hint="eastAsia" w:ascii="仿宋_GB2312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color w:val="000000"/>
                <w:kern w:val="0"/>
                <w:sz w:val="21"/>
                <w:szCs w:val="21"/>
              </w:rPr>
              <w:t>安全生产费用足额提取并专款专用，专项经费使用率90%以上。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查阅工作台帐。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  <w:t>未提取安全生产费用的，扣4分；未专款专用的，每处扣1分；专项经费使用率未达到60%以上的扣3分；未达到90%的扣2分。本项分值扣完为止。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七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b/>
                <w:kern w:val="0"/>
                <w:sz w:val="21"/>
                <w:szCs w:val="21"/>
              </w:rPr>
              <w:t>得分</w:t>
            </w:r>
          </w:p>
        </w:tc>
        <w:tc>
          <w:tcPr>
            <w:tcW w:w="12780" w:type="dxa"/>
            <w:gridSpan w:val="4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>备注：总分100分，得分90-100分为优秀，80-89分为合格，低于80分为不合格。考评得分90分以上的外协作业单位为市级规范化单位，考评得分80-89</w:t>
      </w:r>
    </w:p>
    <w:p>
      <w:pPr>
        <w:rPr>
          <w:rFonts w:hint="eastAsia"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>分的为县（区）级规范化单位。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F241A"/>
    <w:rsid w:val="2D7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0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2022-06-14T10:56:00Z</dcterms:created>
  <dc:creator>user</dc:creator>
  <cp:lastModifiedBy>user</cp:lastModifiedBy>
  <dcterms:modified xsi:type="dcterms:W3CDTF">2022-06-14T10:57:24Z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