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8E" w:rsidRDefault="00054BBB">
      <w:pPr>
        <w:rPr>
          <w:b/>
          <w:sz w:val="44"/>
          <w:szCs w:val="44"/>
        </w:rPr>
      </w:pPr>
      <w:r>
        <w:rPr>
          <w:rFonts w:ascii="仿宋_GB2312" w:eastAsia="仿宋_GB2312" w:hint="eastAsia"/>
          <w:sz w:val="30"/>
          <w:szCs w:val="30"/>
        </w:rPr>
        <w:t>附</w:t>
      </w:r>
      <w:r>
        <w:rPr>
          <w:rFonts w:ascii="仿宋_GB2312" w:eastAsia="仿宋_GB2312" w:hint="eastAsia"/>
          <w:sz w:val="30"/>
          <w:szCs w:val="30"/>
        </w:rPr>
        <w:t>表</w:t>
      </w:r>
      <w:r>
        <w:rPr>
          <w:rFonts w:ascii="仿宋_GB2312" w:eastAsia="仿宋_GB2312"/>
          <w:sz w:val="30"/>
          <w:szCs w:val="30"/>
        </w:rPr>
        <w:t xml:space="preserve">1 </w:t>
      </w:r>
      <w:r>
        <w:rPr>
          <w:rFonts w:ascii="仿宋_GB2312" w:eastAsia="仿宋_GB2312" w:hint="eastAsia"/>
          <w:sz w:val="30"/>
          <w:szCs w:val="30"/>
        </w:rPr>
        <w:t xml:space="preserve">                 </w:t>
      </w:r>
      <w:r>
        <w:rPr>
          <w:rFonts w:eastAsia="仿宋_GB2312" w:hint="eastAsia"/>
          <w:b/>
          <w:sz w:val="44"/>
          <w:szCs w:val="44"/>
        </w:rPr>
        <w:t>危险化学品使用企业事故隐患排</w:t>
      </w:r>
      <w:r>
        <w:rPr>
          <w:rFonts w:hint="eastAsia"/>
          <w:b/>
          <w:sz w:val="44"/>
          <w:szCs w:val="44"/>
        </w:rPr>
        <w:t>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5205"/>
        <w:gridCol w:w="5062"/>
        <w:gridCol w:w="1863"/>
      </w:tblGrid>
      <w:tr w:rsidR="00745A8E">
        <w:tc>
          <w:tcPr>
            <w:tcW w:w="1196" w:type="dxa"/>
            <w:vAlign w:val="center"/>
          </w:tcPr>
          <w:p w:rsidR="00745A8E" w:rsidRDefault="00054BBB">
            <w:pPr>
              <w:spacing w:line="400" w:lineRule="exact"/>
              <w:jc w:val="center"/>
              <w:rPr>
                <w:rFonts w:ascii="仿宋" w:eastAsia="仿宋" w:hAnsi="仿宋"/>
                <w:sz w:val="28"/>
                <w:szCs w:val="28"/>
              </w:rPr>
            </w:pPr>
            <w:r>
              <w:rPr>
                <w:rFonts w:ascii="仿宋" w:eastAsia="仿宋" w:hAnsi="仿宋" w:hint="eastAsia"/>
                <w:sz w:val="28"/>
                <w:szCs w:val="28"/>
              </w:rPr>
              <w:t>防范事故类别</w:t>
            </w:r>
          </w:p>
        </w:tc>
        <w:tc>
          <w:tcPr>
            <w:tcW w:w="5205" w:type="dxa"/>
            <w:vAlign w:val="center"/>
          </w:tcPr>
          <w:p w:rsidR="00745A8E" w:rsidRDefault="00054BBB">
            <w:pPr>
              <w:spacing w:line="400" w:lineRule="exact"/>
              <w:ind w:firstLineChars="350" w:firstLine="980"/>
              <w:rPr>
                <w:rFonts w:ascii="仿宋" w:eastAsia="仿宋" w:hAnsi="仿宋"/>
                <w:sz w:val="28"/>
                <w:szCs w:val="28"/>
              </w:rPr>
            </w:pPr>
            <w:r>
              <w:rPr>
                <w:rFonts w:ascii="仿宋" w:eastAsia="仿宋" w:hAnsi="仿宋" w:hint="eastAsia"/>
                <w:sz w:val="28"/>
                <w:szCs w:val="28"/>
              </w:rPr>
              <w:t>安全检查内容</w:t>
            </w:r>
          </w:p>
        </w:tc>
        <w:tc>
          <w:tcPr>
            <w:tcW w:w="5062" w:type="dxa"/>
            <w:vAlign w:val="center"/>
          </w:tcPr>
          <w:p w:rsidR="00745A8E" w:rsidRDefault="00054BBB">
            <w:pPr>
              <w:spacing w:line="400" w:lineRule="exact"/>
              <w:jc w:val="center"/>
              <w:rPr>
                <w:rFonts w:ascii="仿宋" w:eastAsia="仿宋" w:hAnsi="仿宋"/>
                <w:sz w:val="28"/>
                <w:szCs w:val="28"/>
              </w:rPr>
            </w:pPr>
            <w:r>
              <w:rPr>
                <w:rFonts w:ascii="仿宋" w:eastAsia="仿宋" w:hAnsi="仿宋" w:hint="eastAsia"/>
                <w:sz w:val="28"/>
                <w:szCs w:val="28"/>
              </w:rPr>
              <w:t>存在问题描述</w:t>
            </w:r>
          </w:p>
          <w:p w:rsidR="00745A8E" w:rsidRDefault="00054BBB">
            <w:pPr>
              <w:spacing w:line="400" w:lineRule="exact"/>
              <w:jc w:val="center"/>
              <w:rPr>
                <w:rFonts w:ascii="仿宋" w:eastAsia="仿宋" w:hAnsi="仿宋"/>
                <w:sz w:val="28"/>
                <w:szCs w:val="28"/>
              </w:rPr>
            </w:pPr>
            <w:r>
              <w:rPr>
                <w:rFonts w:ascii="仿宋" w:eastAsia="仿宋" w:hAnsi="仿宋" w:hint="eastAsia"/>
                <w:sz w:val="28"/>
                <w:szCs w:val="28"/>
              </w:rPr>
              <w:t>（前述安全检查内容未涉及请注明）</w:t>
            </w:r>
          </w:p>
        </w:tc>
        <w:tc>
          <w:tcPr>
            <w:tcW w:w="1863" w:type="dxa"/>
            <w:vAlign w:val="center"/>
          </w:tcPr>
          <w:p w:rsidR="00745A8E" w:rsidRDefault="00054BBB">
            <w:pPr>
              <w:spacing w:line="220" w:lineRule="exact"/>
              <w:jc w:val="center"/>
              <w:rPr>
                <w:rFonts w:ascii="仿宋" w:eastAsia="仿宋" w:hAnsi="仿宋"/>
                <w:b/>
                <w:sz w:val="24"/>
                <w:szCs w:val="24"/>
              </w:rPr>
            </w:pPr>
            <w:r>
              <w:rPr>
                <w:rFonts w:ascii="仿宋" w:eastAsia="仿宋" w:hAnsi="仿宋" w:hint="eastAsia"/>
                <w:b/>
                <w:sz w:val="24"/>
                <w:szCs w:val="24"/>
              </w:rPr>
              <w:t>处置措施</w:t>
            </w:r>
          </w:p>
          <w:p w:rsidR="00745A8E" w:rsidRDefault="00054BBB">
            <w:pPr>
              <w:spacing w:line="400" w:lineRule="exact"/>
              <w:rPr>
                <w:rFonts w:ascii="仿宋" w:eastAsia="仿宋" w:hAnsi="仿宋"/>
                <w:sz w:val="28"/>
                <w:szCs w:val="28"/>
              </w:rPr>
            </w:pPr>
            <w:r>
              <w:rPr>
                <w:rFonts w:hint="eastAsia"/>
                <w:sz w:val="18"/>
                <w:szCs w:val="18"/>
              </w:rPr>
              <w:t>（限期整改、停产整顿、县区挂牌或市级挂牌）</w:t>
            </w:r>
          </w:p>
        </w:tc>
      </w:tr>
      <w:tr w:rsidR="00745A8E">
        <w:tc>
          <w:tcPr>
            <w:tcW w:w="1196" w:type="dxa"/>
            <w:vMerge w:val="restart"/>
            <w:vAlign w:val="center"/>
          </w:tcPr>
          <w:p w:rsidR="00745A8E" w:rsidRDefault="00054BBB">
            <w:pPr>
              <w:spacing w:line="400" w:lineRule="exact"/>
              <w:rPr>
                <w:rFonts w:ascii="仿宋" w:eastAsia="仿宋" w:hAnsi="仿宋"/>
                <w:sz w:val="28"/>
                <w:szCs w:val="28"/>
              </w:rPr>
            </w:pPr>
            <w:r>
              <w:rPr>
                <w:rFonts w:ascii="仿宋" w:eastAsia="仿宋" w:hAnsi="仿宋" w:hint="eastAsia"/>
                <w:sz w:val="28"/>
                <w:szCs w:val="28"/>
              </w:rPr>
              <w:t>防范“易燃易爆”“中毒窒息”事故</w:t>
            </w: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是否制定危化品使用</w:t>
            </w:r>
            <w:r>
              <w:rPr>
                <w:rFonts w:ascii="仿宋" w:eastAsia="仿宋" w:hAnsi="仿宋" w:hint="eastAsia"/>
                <w:sz w:val="28"/>
                <w:szCs w:val="28"/>
              </w:rPr>
              <w:t>、</w:t>
            </w:r>
            <w:r>
              <w:rPr>
                <w:rFonts w:ascii="仿宋" w:eastAsia="仿宋" w:hAnsi="仿宋" w:hint="eastAsia"/>
                <w:sz w:val="28"/>
                <w:szCs w:val="28"/>
              </w:rPr>
              <w:t>储存</w:t>
            </w:r>
            <w:r>
              <w:rPr>
                <w:rFonts w:ascii="仿宋" w:eastAsia="仿宋" w:hAnsi="仿宋" w:hint="eastAsia"/>
                <w:sz w:val="28"/>
                <w:szCs w:val="28"/>
              </w:rPr>
              <w:t>操作规程</w:t>
            </w:r>
            <w:r>
              <w:rPr>
                <w:rFonts w:ascii="仿宋" w:eastAsia="仿宋" w:hAnsi="仿宋" w:hint="eastAsia"/>
                <w:sz w:val="28"/>
                <w:szCs w:val="28"/>
              </w:rPr>
              <w:t>、</w:t>
            </w:r>
            <w:r>
              <w:rPr>
                <w:rFonts w:ascii="仿宋" w:eastAsia="仿宋" w:hAnsi="仿宋" w:hint="eastAsia"/>
                <w:sz w:val="28"/>
                <w:szCs w:val="28"/>
              </w:rPr>
              <w:t>人员培训及隐患排查制度。</w:t>
            </w:r>
          </w:p>
        </w:tc>
        <w:tc>
          <w:tcPr>
            <w:tcW w:w="5062" w:type="dxa"/>
            <w:vAlign w:val="center"/>
          </w:tcPr>
          <w:p w:rsidR="00745A8E" w:rsidRDefault="00745A8E">
            <w:pPr>
              <w:spacing w:line="400" w:lineRule="exact"/>
              <w:jc w:val="center"/>
              <w:rPr>
                <w:rFonts w:ascii="仿宋" w:eastAsia="仿宋" w:hAnsi="仿宋"/>
                <w:sz w:val="28"/>
                <w:szCs w:val="28"/>
              </w:rPr>
            </w:pPr>
          </w:p>
        </w:tc>
        <w:tc>
          <w:tcPr>
            <w:tcW w:w="1863" w:type="dxa"/>
            <w:vAlign w:val="center"/>
          </w:tcPr>
          <w:p w:rsidR="00745A8E" w:rsidRDefault="00745A8E">
            <w:pPr>
              <w:spacing w:line="400" w:lineRule="exact"/>
              <w:jc w:val="center"/>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安全生产管理机构和管理人员配备是否符合《浙江省安全生产条例》要求。</w:t>
            </w:r>
          </w:p>
        </w:tc>
        <w:tc>
          <w:tcPr>
            <w:tcW w:w="5062" w:type="dxa"/>
            <w:vAlign w:val="center"/>
          </w:tcPr>
          <w:p w:rsidR="00745A8E" w:rsidRDefault="00745A8E">
            <w:pPr>
              <w:spacing w:line="400" w:lineRule="exact"/>
              <w:jc w:val="center"/>
              <w:rPr>
                <w:rFonts w:ascii="仿宋" w:eastAsia="仿宋" w:hAnsi="仿宋"/>
                <w:sz w:val="28"/>
                <w:szCs w:val="28"/>
              </w:rPr>
            </w:pPr>
          </w:p>
        </w:tc>
        <w:tc>
          <w:tcPr>
            <w:tcW w:w="1863" w:type="dxa"/>
            <w:vAlign w:val="center"/>
          </w:tcPr>
          <w:p w:rsidR="00745A8E" w:rsidRDefault="00745A8E">
            <w:pPr>
              <w:spacing w:line="400" w:lineRule="exact"/>
              <w:jc w:val="center"/>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易燃易爆场所是否按标准设置可燃气体报警装置，电气是否防爆，设备设施是否按要求静电接地。</w:t>
            </w:r>
          </w:p>
        </w:tc>
        <w:tc>
          <w:tcPr>
            <w:tcW w:w="5062" w:type="dxa"/>
            <w:vAlign w:val="center"/>
          </w:tcPr>
          <w:p w:rsidR="00745A8E" w:rsidRDefault="00745A8E">
            <w:pPr>
              <w:spacing w:line="400" w:lineRule="exact"/>
              <w:jc w:val="center"/>
              <w:rPr>
                <w:rFonts w:ascii="仿宋" w:eastAsia="仿宋" w:hAnsi="仿宋"/>
                <w:sz w:val="28"/>
                <w:szCs w:val="28"/>
              </w:rPr>
            </w:pPr>
          </w:p>
        </w:tc>
        <w:tc>
          <w:tcPr>
            <w:tcW w:w="1863" w:type="dxa"/>
            <w:vAlign w:val="center"/>
          </w:tcPr>
          <w:p w:rsidR="00745A8E" w:rsidRDefault="00745A8E">
            <w:pPr>
              <w:spacing w:line="400" w:lineRule="exact"/>
              <w:jc w:val="center"/>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是否存在加工区域与易燃易爆危化品储存区域未采用防火墙或防火门进行有效分隔。</w:t>
            </w:r>
          </w:p>
        </w:tc>
        <w:tc>
          <w:tcPr>
            <w:tcW w:w="5062" w:type="dxa"/>
            <w:vAlign w:val="center"/>
          </w:tcPr>
          <w:p w:rsidR="00745A8E" w:rsidRDefault="00745A8E">
            <w:pPr>
              <w:spacing w:line="400" w:lineRule="exact"/>
              <w:jc w:val="center"/>
              <w:rPr>
                <w:rFonts w:ascii="仿宋" w:eastAsia="仿宋" w:hAnsi="仿宋"/>
                <w:sz w:val="28"/>
                <w:szCs w:val="28"/>
              </w:rPr>
            </w:pPr>
          </w:p>
        </w:tc>
        <w:tc>
          <w:tcPr>
            <w:tcW w:w="1863" w:type="dxa"/>
            <w:vAlign w:val="center"/>
          </w:tcPr>
          <w:p w:rsidR="00745A8E" w:rsidRDefault="00745A8E">
            <w:pPr>
              <w:spacing w:line="400" w:lineRule="exact"/>
              <w:jc w:val="center"/>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保管接触使用易燃易爆危化品人员是否知道化学品危害性，紧急情况下如何进行处置。</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易燃易爆危化品储存场所、储存容器是否符合安全管理规定。储存、使用场所是</w:t>
            </w:r>
            <w:r>
              <w:rPr>
                <w:rFonts w:ascii="仿宋" w:eastAsia="仿宋" w:hAnsi="仿宋" w:hint="eastAsia"/>
                <w:sz w:val="28"/>
                <w:szCs w:val="28"/>
              </w:rPr>
              <w:lastRenderedPageBreak/>
              <w:t>否张贴安全周知卡，配备的消防器材设施是否完好。</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易燃易爆危化品使用场所安全出口是否保持畅通。</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是否存在使用易燃易爆危化品车间、储存易燃易爆化学品的仓库与员工宿舍在同一座建筑物内。</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危化品使用、储存场所是否配有相应消防等应急器材。</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有限空间内使用危险化学品是否符合有限空间作业安全管理规定。</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使用易燃易爆危化品场所是否存在“导火源”（</w:t>
            </w:r>
            <w:r>
              <w:rPr>
                <w:rFonts w:ascii="微软雅黑" w:eastAsia="微软雅黑" w:hAnsi="微软雅黑" w:hint="eastAsia"/>
                <w:color w:val="333333"/>
                <w:szCs w:val="21"/>
              </w:rPr>
              <w:t>电气短路、电气过载致热、非防爆电气设备启动、静电以及动火作业等</w:t>
            </w:r>
            <w:r>
              <w:rPr>
                <w:rFonts w:ascii="微软雅黑" w:eastAsia="微软雅黑" w:hAnsi="微软雅黑" w:hint="eastAsia"/>
                <w:color w:val="333333"/>
                <w:sz w:val="27"/>
                <w:szCs w:val="27"/>
              </w:rPr>
              <w:t>）。</w:t>
            </w:r>
            <w:bookmarkStart w:id="0" w:name="_GoBack"/>
            <w:bookmarkEnd w:id="0"/>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易燃易爆危化品使用环节是否采用不易导除静电的塑料管道、塑料容器等设施。</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燃气装置是否设置防熄火或点火失败情况下快速切断燃气紧急切断阀。</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易燃易爆危化品使用单位是否制定易</w:t>
            </w:r>
            <w:r>
              <w:rPr>
                <w:rFonts w:ascii="仿宋" w:eastAsia="仿宋" w:hAnsi="仿宋" w:hint="eastAsia"/>
                <w:sz w:val="28"/>
                <w:szCs w:val="28"/>
              </w:rPr>
              <w:lastRenderedPageBreak/>
              <w:t>燃易爆危化品应急处置方案，并开展应急演练。</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其他可能会由危化品引发中毒等事故的风险是否受控。</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restart"/>
            <w:vAlign w:val="center"/>
          </w:tcPr>
          <w:p w:rsidR="00745A8E" w:rsidRDefault="00745A8E">
            <w:pPr>
              <w:spacing w:line="400" w:lineRule="exact"/>
              <w:rPr>
                <w:rFonts w:ascii="仿宋" w:eastAsia="仿宋" w:hAnsi="仿宋"/>
                <w:sz w:val="28"/>
                <w:szCs w:val="28"/>
              </w:rPr>
            </w:pPr>
          </w:p>
          <w:p w:rsidR="00745A8E" w:rsidRDefault="00054BBB">
            <w:pPr>
              <w:spacing w:line="400" w:lineRule="exact"/>
              <w:jc w:val="center"/>
              <w:rPr>
                <w:rFonts w:ascii="仿宋" w:eastAsia="仿宋" w:hAnsi="仿宋"/>
                <w:sz w:val="28"/>
                <w:szCs w:val="28"/>
              </w:rPr>
            </w:pPr>
            <w:r>
              <w:rPr>
                <w:rFonts w:ascii="仿宋" w:eastAsia="仿宋" w:hAnsi="仿宋" w:hint="eastAsia"/>
                <w:sz w:val="28"/>
                <w:szCs w:val="28"/>
              </w:rPr>
              <w:t>防范“消防安全”事故</w:t>
            </w: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是否存在“三合一”场所。</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cs="宋体" w:hint="eastAsia"/>
                <w:color w:val="333333"/>
                <w:kern w:val="0"/>
                <w:sz w:val="28"/>
                <w:szCs w:val="28"/>
              </w:rPr>
              <w:t>2</w:t>
            </w:r>
            <w:r>
              <w:rPr>
                <w:rFonts w:ascii="仿宋" w:eastAsia="仿宋" w:hAnsi="仿宋" w:cs="宋体"/>
                <w:color w:val="333333"/>
                <w:kern w:val="0"/>
                <w:sz w:val="28"/>
                <w:szCs w:val="28"/>
              </w:rPr>
              <w:t>.</w:t>
            </w:r>
            <w:r>
              <w:rPr>
                <w:rFonts w:ascii="仿宋" w:eastAsia="仿宋" w:hAnsi="仿宋" w:cs="宋体" w:hint="eastAsia"/>
                <w:color w:val="333333"/>
                <w:kern w:val="0"/>
                <w:sz w:val="28"/>
                <w:szCs w:val="28"/>
              </w:rPr>
              <w:t>人员密集场所是否存在外墙门窗设置影响逃生情况。</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cs="宋体"/>
                <w:color w:val="333333"/>
                <w:kern w:val="0"/>
                <w:sz w:val="28"/>
                <w:szCs w:val="28"/>
              </w:rPr>
            </w:pPr>
            <w:r>
              <w:rPr>
                <w:rFonts w:ascii="仿宋" w:eastAsia="仿宋" w:hAnsi="仿宋" w:cs="宋体" w:hint="eastAsia"/>
                <w:color w:val="333333"/>
                <w:kern w:val="0"/>
                <w:sz w:val="28"/>
                <w:szCs w:val="28"/>
              </w:rPr>
              <w:t>3</w:t>
            </w:r>
            <w:r>
              <w:rPr>
                <w:rFonts w:ascii="仿宋" w:eastAsia="仿宋" w:hAnsi="仿宋" w:cs="宋体"/>
                <w:color w:val="333333"/>
                <w:kern w:val="0"/>
                <w:sz w:val="28"/>
                <w:szCs w:val="28"/>
              </w:rPr>
              <w:t>.</w:t>
            </w:r>
            <w:r>
              <w:rPr>
                <w:rFonts w:ascii="仿宋" w:eastAsia="仿宋" w:hAnsi="仿宋" w:cs="宋体" w:hint="eastAsia"/>
                <w:color w:val="333333"/>
                <w:kern w:val="0"/>
                <w:sz w:val="28"/>
                <w:szCs w:val="28"/>
              </w:rPr>
              <w:t>员工是否掌握岗位火灾危险性和消防安全“四懂三会”</w:t>
            </w:r>
            <w:r>
              <w:rPr>
                <w:rFonts w:ascii="仿宋" w:eastAsia="仿宋" w:hAnsi="仿宋" w:cs="宋体" w:hint="eastAsia"/>
                <w:color w:val="333333"/>
                <w:kern w:val="0"/>
                <w:szCs w:val="21"/>
              </w:rPr>
              <w:t>（懂岗位消防流程、懂火灾危险性、懂预防火灾的措施、懂基本消防安全常识；会报警、会操作消防设施、会扑救初期火灾）</w:t>
            </w:r>
            <w:r>
              <w:rPr>
                <w:rFonts w:ascii="仿宋" w:eastAsia="仿宋" w:hAnsi="仿宋" w:cs="宋体" w:hint="eastAsia"/>
                <w:color w:val="333333"/>
                <w:kern w:val="0"/>
                <w:sz w:val="28"/>
                <w:szCs w:val="28"/>
              </w:rPr>
              <w:t>。</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r w:rsidR="00745A8E">
        <w:tc>
          <w:tcPr>
            <w:tcW w:w="1196" w:type="dxa"/>
            <w:vMerge/>
            <w:vAlign w:val="center"/>
          </w:tcPr>
          <w:p w:rsidR="00745A8E" w:rsidRDefault="00745A8E">
            <w:pPr>
              <w:spacing w:line="400" w:lineRule="exact"/>
              <w:jc w:val="center"/>
              <w:rPr>
                <w:rFonts w:ascii="仿宋" w:eastAsia="仿宋" w:hAnsi="仿宋"/>
                <w:sz w:val="28"/>
                <w:szCs w:val="28"/>
              </w:rPr>
            </w:pPr>
          </w:p>
        </w:tc>
        <w:tc>
          <w:tcPr>
            <w:tcW w:w="5205" w:type="dxa"/>
            <w:vAlign w:val="center"/>
          </w:tcPr>
          <w:p w:rsidR="00745A8E" w:rsidRDefault="00054BBB">
            <w:pPr>
              <w:spacing w:line="400" w:lineRule="exac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其他易引发火灾或影响人员疏散情形。</w:t>
            </w:r>
          </w:p>
        </w:tc>
        <w:tc>
          <w:tcPr>
            <w:tcW w:w="5062" w:type="dxa"/>
          </w:tcPr>
          <w:p w:rsidR="00745A8E" w:rsidRDefault="00745A8E">
            <w:pPr>
              <w:spacing w:line="400" w:lineRule="exact"/>
              <w:rPr>
                <w:rFonts w:ascii="仿宋" w:eastAsia="仿宋" w:hAnsi="仿宋"/>
                <w:sz w:val="28"/>
                <w:szCs w:val="28"/>
              </w:rPr>
            </w:pPr>
          </w:p>
        </w:tc>
        <w:tc>
          <w:tcPr>
            <w:tcW w:w="1863" w:type="dxa"/>
          </w:tcPr>
          <w:p w:rsidR="00745A8E" w:rsidRDefault="00745A8E">
            <w:pPr>
              <w:spacing w:line="400" w:lineRule="exact"/>
              <w:rPr>
                <w:rFonts w:ascii="仿宋" w:eastAsia="仿宋" w:hAnsi="仿宋"/>
                <w:sz w:val="28"/>
                <w:szCs w:val="28"/>
              </w:rPr>
            </w:pPr>
          </w:p>
        </w:tc>
      </w:tr>
    </w:tbl>
    <w:p w:rsidR="00745A8E" w:rsidRDefault="00745A8E">
      <w:pPr>
        <w:rPr>
          <w:rFonts w:ascii="仿宋" w:eastAsia="仿宋" w:hAnsi="仿宋"/>
          <w:sz w:val="28"/>
          <w:szCs w:val="28"/>
        </w:rPr>
      </w:pPr>
    </w:p>
    <w:sectPr w:rsidR="00745A8E">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BB" w:rsidRDefault="00054BBB">
      <w:r>
        <w:separator/>
      </w:r>
    </w:p>
  </w:endnote>
  <w:endnote w:type="continuationSeparator" w:id="0">
    <w:p w:rsidR="00054BBB" w:rsidRDefault="0005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8E" w:rsidRDefault="00054BBB">
    <w:pPr>
      <w:pStyle w:val="a3"/>
      <w:jc w:val="center"/>
    </w:pPr>
    <w:r>
      <w:fldChar w:fldCharType="begin"/>
    </w:r>
    <w:r>
      <w:instrText xml:space="preserve"> PAGE   \* MERGEFORMAT </w:instrText>
    </w:r>
    <w:r>
      <w:fldChar w:fldCharType="separate"/>
    </w:r>
    <w:r w:rsidR="003D4207" w:rsidRPr="003D4207">
      <w:rPr>
        <w:noProof/>
        <w:lang w:val="zh-CN"/>
      </w:rPr>
      <w:t>2</w:t>
    </w:r>
    <w:r>
      <w:rPr>
        <w:lang w:val="zh-CN"/>
      </w:rPr>
      <w:fldChar w:fldCharType="end"/>
    </w:r>
  </w:p>
  <w:p w:rsidR="00745A8E" w:rsidRDefault="00745A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BB" w:rsidRDefault="00054BBB">
      <w:r>
        <w:separator/>
      </w:r>
    </w:p>
  </w:footnote>
  <w:footnote w:type="continuationSeparator" w:id="0">
    <w:p w:rsidR="00054BBB" w:rsidRDefault="0005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E8"/>
    <w:rsid w:val="000162C9"/>
    <w:rsid w:val="00020861"/>
    <w:rsid w:val="0003243E"/>
    <w:rsid w:val="00054BBB"/>
    <w:rsid w:val="00072B11"/>
    <w:rsid w:val="00073526"/>
    <w:rsid w:val="00096D1F"/>
    <w:rsid w:val="000B632F"/>
    <w:rsid w:val="00120008"/>
    <w:rsid w:val="001672E7"/>
    <w:rsid w:val="001725F2"/>
    <w:rsid w:val="002017B1"/>
    <w:rsid w:val="00210109"/>
    <w:rsid w:val="002616D9"/>
    <w:rsid w:val="00266062"/>
    <w:rsid w:val="002923B4"/>
    <w:rsid w:val="002A3874"/>
    <w:rsid w:val="002E6523"/>
    <w:rsid w:val="00343029"/>
    <w:rsid w:val="0036725B"/>
    <w:rsid w:val="00391E3C"/>
    <w:rsid w:val="003B19E2"/>
    <w:rsid w:val="003D4207"/>
    <w:rsid w:val="003D5395"/>
    <w:rsid w:val="00406627"/>
    <w:rsid w:val="004535B6"/>
    <w:rsid w:val="00472B5A"/>
    <w:rsid w:val="004967BF"/>
    <w:rsid w:val="004D00A9"/>
    <w:rsid w:val="004D7594"/>
    <w:rsid w:val="004E0087"/>
    <w:rsid w:val="004F5C80"/>
    <w:rsid w:val="00526B3D"/>
    <w:rsid w:val="00536B16"/>
    <w:rsid w:val="00537E58"/>
    <w:rsid w:val="005610E8"/>
    <w:rsid w:val="00564F18"/>
    <w:rsid w:val="00565895"/>
    <w:rsid w:val="005955C6"/>
    <w:rsid w:val="005C78D0"/>
    <w:rsid w:val="006330B0"/>
    <w:rsid w:val="006B2FB2"/>
    <w:rsid w:val="006D1FE5"/>
    <w:rsid w:val="00702F0F"/>
    <w:rsid w:val="00724F7C"/>
    <w:rsid w:val="00732ADC"/>
    <w:rsid w:val="00745A8E"/>
    <w:rsid w:val="00745F3E"/>
    <w:rsid w:val="007C0F53"/>
    <w:rsid w:val="007E791A"/>
    <w:rsid w:val="00812763"/>
    <w:rsid w:val="008A0367"/>
    <w:rsid w:val="008D1F21"/>
    <w:rsid w:val="008E5C2D"/>
    <w:rsid w:val="00955739"/>
    <w:rsid w:val="0097501A"/>
    <w:rsid w:val="009B51B4"/>
    <w:rsid w:val="00AD6F6B"/>
    <w:rsid w:val="00B1072B"/>
    <w:rsid w:val="00B25B1E"/>
    <w:rsid w:val="00BE0AE0"/>
    <w:rsid w:val="00C554EF"/>
    <w:rsid w:val="00C66568"/>
    <w:rsid w:val="00CA1923"/>
    <w:rsid w:val="00CC491C"/>
    <w:rsid w:val="00CD0B1B"/>
    <w:rsid w:val="00CF6AB4"/>
    <w:rsid w:val="00D14D4F"/>
    <w:rsid w:val="00D57631"/>
    <w:rsid w:val="00D7067E"/>
    <w:rsid w:val="00D960C8"/>
    <w:rsid w:val="00DB585D"/>
    <w:rsid w:val="00DD0B4B"/>
    <w:rsid w:val="00DF78BC"/>
    <w:rsid w:val="00E41255"/>
    <w:rsid w:val="00E52419"/>
    <w:rsid w:val="00E55D8A"/>
    <w:rsid w:val="00ED75A8"/>
    <w:rsid w:val="00F32082"/>
    <w:rsid w:val="00F90C94"/>
    <w:rsid w:val="00F9171A"/>
    <w:rsid w:val="00FD2CD6"/>
    <w:rsid w:val="05D9620A"/>
    <w:rsid w:val="0F2909E8"/>
    <w:rsid w:val="5BCA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11AB4-931A-4611-A8D1-9C4B36F4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眉 字符"/>
    <w:basedOn w:val="a0"/>
    <w:link w:val="a5"/>
    <w:uiPriority w:val="99"/>
    <w:qFormat/>
    <w:locked/>
    <w:rPr>
      <w:rFonts w:cs="Times New Roman"/>
      <w:sz w:val="18"/>
      <w:szCs w:val="18"/>
    </w:rPr>
  </w:style>
  <w:style w:type="character" w:customStyle="1" w:styleId="a4">
    <w:name w:val="页脚 字符"/>
    <w:basedOn w:val="a0"/>
    <w:link w:val="a3"/>
    <w:uiPriority w:val="99"/>
    <w:locked/>
    <w:rPr>
      <w:rFonts w:cs="Times New Roman"/>
      <w:sz w:val="18"/>
      <w:szCs w:val="18"/>
    </w:rPr>
  </w:style>
  <w:style w:type="paragraph" w:styleId="a8">
    <w:name w:val="No Spacing"/>
    <w:link w:val="a9"/>
    <w:uiPriority w:val="99"/>
    <w:qFormat/>
    <w:rPr>
      <w:sz w:val="22"/>
      <w:szCs w:val="22"/>
    </w:rPr>
  </w:style>
  <w:style w:type="character" w:customStyle="1" w:styleId="a9">
    <w:name w:val="无间隔 字符"/>
    <w:basedOn w:val="a0"/>
    <w:link w:val="a8"/>
    <w:uiPriority w:val="99"/>
    <w:locked/>
    <w:rPr>
      <w:rFonts w:cs="Times New Roman"/>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799</Characters>
  <Application>Microsoft Office Word</Application>
  <DocSecurity>0</DocSecurity>
  <Lines>6</Lines>
  <Paragraphs>1</Paragraphs>
  <ScaleCrop>false</ScaleCrop>
  <Company>微软中国</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陈豪荣</cp:lastModifiedBy>
  <cp:revision>2</cp:revision>
  <cp:lastPrinted>2019-10-28T04:20:00Z</cp:lastPrinted>
  <dcterms:created xsi:type="dcterms:W3CDTF">2020-03-26T02:49:00Z</dcterms:created>
  <dcterms:modified xsi:type="dcterms:W3CDTF">2020-03-26T02:49:00Z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